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7D207" w14:textId="26DCB69B" w:rsidR="00630574" w:rsidRDefault="00630574" w:rsidP="00630574">
      <w:pPr>
        <w:spacing w:after="0" w:line="240" w:lineRule="auto"/>
        <w:rPr>
          <w:b/>
          <w:bCs/>
        </w:rPr>
      </w:pPr>
      <w:r>
        <w:rPr>
          <w:b/>
          <w:bCs/>
        </w:rPr>
        <w:t>MEMORIAIS DESCRITIVOS:</w:t>
      </w:r>
    </w:p>
    <w:p w14:paraId="6FC4C8DD" w14:textId="77777777" w:rsidR="00630574" w:rsidRDefault="00630574" w:rsidP="00945A9F">
      <w:pPr>
        <w:spacing w:after="0" w:line="240" w:lineRule="auto"/>
        <w:jc w:val="center"/>
        <w:rPr>
          <w:b/>
          <w:bCs/>
        </w:rPr>
      </w:pPr>
    </w:p>
    <w:p w14:paraId="5426C67F" w14:textId="19E13541" w:rsidR="00E10FAF" w:rsidRPr="00E10FAF" w:rsidRDefault="00E10FAF" w:rsidP="00945A9F">
      <w:pPr>
        <w:spacing w:after="0" w:line="240" w:lineRule="auto"/>
        <w:jc w:val="center"/>
        <w:rPr>
          <w:b/>
          <w:bCs/>
        </w:rPr>
      </w:pPr>
      <w:r w:rsidRPr="00E10FAF">
        <w:rPr>
          <w:b/>
          <w:bCs/>
        </w:rPr>
        <w:t>Reforma do Edifício da Produção</w:t>
      </w:r>
    </w:p>
    <w:p w14:paraId="55375B45" w14:textId="77777777" w:rsidR="00E10FAF" w:rsidRDefault="00E10FAF" w:rsidP="001159C5">
      <w:pPr>
        <w:spacing w:after="0" w:line="240" w:lineRule="auto"/>
        <w:ind w:firstLine="567"/>
        <w:jc w:val="both"/>
      </w:pPr>
    </w:p>
    <w:p w14:paraId="13A5C7D0" w14:textId="77777777" w:rsidR="00E10FAF" w:rsidRDefault="00E10FAF" w:rsidP="001159C5">
      <w:pPr>
        <w:spacing w:after="0" w:line="240" w:lineRule="auto"/>
        <w:ind w:firstLine="567"/>
        <w:jc w:val="both"/>
      </w:pPr>
    </w:p>
    <w:p w14:paraId="522D2AFA" w14:textId="5824C2C5" w:rsidR="001A4044" w:rsidRDefault="00772658" w:rsidP="00630574">
      <w:pPr>
        <w:spacing w:after="0" w:line="240" w:lineRule="auto"/>
        <w:jc w:val="both"/>
      </w:pPr>
      <w:r w:rsidRPr="00772658">
        <w:t xml:space="preserve">O </w:t>
      </w:r>
      <w:r w:rsidR="00054B9F" w:rsidRPr="00772658">
        <w:t>Edifício</w:t>
      </w:r>
      <w:r w:rsidRPr="00772658">
        <w:t xml:space="preserve"> da Produção </w:t>
      </w:r>
      <w:r>
        <w:t>está localizado na El. 144 da Casa de Força</w:t>
      </w:r>
      <w:r w:rsidR="00460199">
        <w:t xml:space="preserve">, sobre </w:t>
      </w:r>
      <w:r w:rsidR="00185CFC">
        <w:t xml:space="preserve">a linha </w:t>
      </w:r>
      <w:r w:rsidR="00B0198F">
        <w:t xml:space="preserve">teórica </w:t>
      </w:r>
      <w:r w:rsidR="00185CFC">
        <w:t>d</w:t>
      </w:r>
      <w:r w:rsidR="0098245A">
        <w:t>o</w:t>
      </w:r>
      <w:r w:rsidR="00185CFC">
        <w:t xml:space="preserve"> limite </w:t>
      </w:r>
      <w:r w:rsidR="00185CFC" w:rsidRPr="00E03452">
        <w:t xml:space="preserve">geográfico </w:t>
      </w:r>
      <w:r w:rsidR="000140CC" w:rsidRPr="00E03452">
        <w:t>entre Brasil e Paraguai</w:t>
      </w:r>
      <w:r w:rsidRPr="00E03452">
        <w:t xml:space="preserve">, sendo composto por </w:t>
      </w:r>
      <w:r w:rsidR="009646AF" w:rsidRPr="00E03452">
        <w:t>7 pavimentos, com áre</w:t>
      </w:r>
      <w:r w:rsidR="000F4CE0" w:rsidRPr="00E03452">
        <w:t>a</w:t>
      </w:r>
      <w:r w:rsidR="009646AF" w:rsidRPr="00E03452">
        <w:t xml:space="preserve"> total aproximada de </w:t>
      </w:r>
      <w:r w:rsidR="00F808FA" w:rsidRPr="00E03452">
        <w:t>15.000</w:t>
      </w:r>
      <w:r w:rsidR="003100DE" w:rsidRPr="00E03452">
        <w:t xml:space="preserve"> m</w:t>
      </w:r>
      <w:r w:rsidR="003100DE" w:rsidRPr="00E03452">
        <w:rPr>
          <w:vertAlign w:val="superscript"/>
        </w:rPr>
        <w:t>2</w:t>
      </w:r>
      <w:r w:rsidR="006C62E8" w:rsidRPr="00E03452">
        <w:t xml:space="preserve">, com </w:t>
      </w:r>
      <w:r w:rsidR="006C62E8">
        <w:t>ocupação típica de</w:t>
      </w:r>
      <w:r w:rsidR="00A01637">
        <w:t xml:space="preserve"> cerca de </w:t>
      </w:r>
      <w:r w:rsidR="00EA6827">
        <w:t>670</w:t>
      </w:r>
      <w:r w:rsidR="00B51FE0" w:rsidRPr="00B51FE0">
        <w:rPr>
          <w:color w:val="FF0000"/>
        </w:rPr>
        <w:t xml:space="preserve"> </w:t>
      </w:r>
      <w:r w:rsidR="00B51FE0">
        <w:t>pessoas.</w:t>
      </w:r>
    </w:p>
    <w:p w14:paraId="2FA520A2" w14:textId="0BB9137B" w:rsidR="00AB20B9" w:rsidRDefault="001A4044" w:rsidP="00630574">
      <w:pPr>
        <w:spacing w:before="120" w:after="0" w:line="240" w:lineRule="auto"/>
        <w:jc w:val="both"/>
      </w:pPr>
      <w:r w:rsidRPr="0055640D">
        <w:t xml:space="preserve">O pavimento </w:t>
      </w:r>
      <w:r w:rsidRPr="00E03452">
        <w:t xml:space="preserve">térreo </w:t>
      </w:r>
      <w:r w:rsidR="003100DE" w:rsidRPr="00E03452">
        <w:t>(</w:t>
      </w:r>
      <w:r w:rsidR="00FE1751" w:rsidRPr="00E03452">
        <w:t>1.600</w:t>
      </w:r>
      <w:r w:rsidR="003554F2" w:rsidRPr="00E03452">
        <w:t xml:space="preserve"> m</w:t>
      </w:r>
      <w:r w:rsidR="003554F2" w:rsidRPr="00E03452">
        <w:rPr>
          <w:vertAlign w:val="superscript"/>
        </w:rPr>
        <w:t>2</w:t>
      </w:r>
      <w:r w:rsidR="003554F2" w:rsidRPr="00E03452">
        <w:t xml:space="preserve">) </w:t>
      </w:r>
      <w:r w:rsidR="008E2FE7" w:rsidRPr="00E03452">
        <w:t>compreende</w:t>
      </w:r>
      <w:r w:rsidRPr="00E03452">
        <w:t xml:space="preserve"> </w:t>
      </w:r>
      <w:r w:rsidR="008E2FE7">
        <w:t>um</w:t>
      </w:r>
      <w:r w:rsidR="0055640D">
        <w:t xml:space="preserve"> hall de acesso pela pista de jusante</w:t>
      </w:r>
      <w:r w:rsidR="00155D8B">
        <w:t xml:space="preserve">, cuja cobertura é um </w:t>
      </w:r>
      <w:r w:rsidR="0098245A">
        <w:t>terraço</w:t>
      </w:r>
      <w:r w:rsidR="00155D8B">
        <w:t xml:space="preserve"> ao ar livre</w:t>
      </w:r>
      <w:r w:rsidR="008A3A7C">
        <w:t>;</w:t>
      </w:r>
      <w:r w:rsidR="008E2FE7">
        <w:t xml:space="preserve"> um hall de acesso pela pista de montante</w:t>
      </w:r>
      <w:r w:rsidR="008A3A7C">
        <w:t xml:space="preserve">, onde existem 4 elevadores </w:t>
      </w:r>
      <w:r w:rsidR="00C632D0">
        <w:t>e uma caixa de escada</w:t>
      </w:r>
      <w:r w:rsidR="00E342D1">
        <w:t>,</w:t>
      </w:r>
      <w:r w:rsidR="00C632D0">
        <w:t xml:space="preserve"> </w:t>
      </w:r>
      <w:r w:rsidR="008A3A7C">
        <w:t>que fazem a comunicação</w:t>
      </w:r>
      <w:r w:rsidR="00D12DD3">
        <w:t xml:space="preserve"> vertical</w:t>
      </w:r>
      <w:r w:rsidR="008A3A7C">
        <w:t xml:space="preserve"> </w:t>
      </w:r>
      <w:r w:rsidR="00D12DD3">
        <w:t>entre todos os</w:t>
      </w:r>
      <w:r w:rsidR="008A3A7C">
        <w:t xml:space="preserve"> pavimentos</w:t>
      </w:r>
      <w:r w:rsidR="00E80E41">
        <w:t xml:space="preserve"> (há ainda 2 caixas de escada, uma em cada extremidade, conectando todos os pavimentos</w:t>
      </w:r>
      <w:r w:rsidR="00BB1964">
        <w:t xml:space="preserve"> às áreas</w:t>
      </w:r>
      <w:r w:rsidR="00D12DD3">
        <w:t xml:space="preserve"> externas</w:t>
      </w:r>
      <w:r w:rsidR="00BB1964">
        <w:t xml:space="preserve"> de estacionamento</w:t>
      </w:r>
      <w:r w:rsidR="00E80E41">
        <w:t>)</w:t>
      </w:r>
      <w:r w:rsidR="008A3A7C">
        <w:t>;</w:t>
      </w:r>
      <w:r w:rsidR="008E2FE7">
        <w:t xml:space="preserve"> </w:t>
      </w:r>
      <w:r w:rsidR="009F6139">
        <w:t>a S</w:t>
      </w:r>
      <w:r w:rsidR="0055640D">
        <w:t>ala</w:t>
      </w:r>
      <w:r w:rsidR="009F6139">
        <w:t xml:space="preserve"> de Despacho de Carga</w:t>
      </w:r>
      <w:r w:rsidR="000A5C6E">
        <w:t>,</w:t>
      </w:r>
      <w:r w:rsidR="009F6139">
        <w:t xml:space="preserve"> um auditório com capacidade para 100 pessoas</w:t>
      </w:r>
      <w:r w:rsidR="00387970">
        <w:t xml:space="preserve"> e </w:t>
      </w:r>
      <w:r w:rsidR="000A5C6E">
        <w:t>instalações sanitárias masculinas e femininas</w:t>
      </w:r>
      <w:r w:rsidR="00AB20B9">
        <w:t>.</w:t>
      </w:r>
    </w:p>
    <w:p w14:paraId="524F76CC" w14:textId="5BC7205C" w:rsidR="00597EA5" w:rsidRPr="00E03452" w:rsidRDefault="005849A8" w:rsidP="00630574">
      <w:pPr>
        <w:spacing w:before="120" w:after="0" w:line="240" w:lineRule="auto"/>
        <w:jc w:val="both"/>
      </w:pPr>
      <w:r>
        <w:t>Do 1º ao 5º</w:t>
      </w:r>
      <w:r w:rsidR="00AB20B9" w:rsidRPr="00AB20B9">
        <w:t xml:space="preserve"> </w:t>
      </w:r>
      <w:r w:rsidR="00AB20B9" w:rsidRPr="00E03452">
        <w:t>pavimento</w:t>
      </w:r>
      <w:r w:rsidRPr="00E03452">
        <w:t xml:space="preserve"> </w:t>
      </w:r>
      <w:r w:rsidR="003554F2" w:rsidRPr="00E03452">
        <w:t>(</w:t>
      </w:r>
      <w:r w:rsidR="00FE1751" w:rsidRPr="00E03452">
        <w:t>2.240</w:t>
      </w:r>
      <w:r w:rsidR="003554F2" w:rsidRPr="00E03452">
        <w:t xml:space="preserve"> m</w:t>
      </w:r>
      <w:r w:rsidR="003554F2" w:rsidRPr="00E03452">
        <w:rPr>
          <w:vertAlign w:val="superscript"/>
        </w:rPr>
        <w:t>2</w:t>
      </w:r>
      <w:r w:rsidR="00405524" w:rsidRPr="00E03452">
        <w:t xml:space="preserve"> cada </w:t>
      </w:r>
      <w:r w:rsidR="00405524">
        <w:t>um)</w:t>
      </w:r>
      <w:r w:rsidR="003554F2">
        <w:t xml:space="preserve"> </w:t>
      </w:r>
      <w:r w:rsidR="003939B3">
        <w:t xml:space="preserve">existem salas de escritórios para o pessoal da Diretoria Técnica, </w:t>
      </w:r>
      <w:r w:rsidR="00D65478">
        <w:t xml:space="preserve">salas de reuniões, sanitários e copas. </w:t>
      </w:r>
      <w:r w:rsidR="00D65478" w:rsidRPr="00D65478">
        <w:t>O 6º pavi</w:t>
      </w:r>
      <w:r w:rsidR="00D65478">
        <w:t xml:space="preserve">mento </w:t>
      </w:r>
      <w:r w:rsidR="00405524">
        <w:t>(</w:t>
      </w:r>
      <w:r w:rsidR="00FE1751">
        <w:t>880</w:t>
      </w:r>
      <w:r w:rsidR="00405524">
        <w:t xml:space="preserve"> m</w:t>
      </w:r>
      <w:r w:rsidR="00405524" w:rsidRPr="003554F2">
        <w:rPr>
          <w:vertAlign w:val="superscript"/>
        </w:rPr>
        <w:t>2</w:t>
      </w:r>
      <w:r w:rsidR="00405524">
        <w:t xml:space="preserve"> de área interna) </w:t>
      </w:r>
      <w:r w:rsidR="00D65478">
        <w:t xml:space="preserve">compreende </w:t>
      </w:r>
      <w:r w:rsidR="00B51EEB">
        <w:t>sala de reuniões da Diretoria, salas de apoio, copa</w:t>
      </w:r>
      <w:r w:rsidR="00623AA2">
        <w:t>,</w:t>
      </w:r>
      <w:r w:rsidR="00B51EEB">
        <w:t xml:space="preserve"> sanitários</w:t>
      </w:r>
      <w:r w:rsidR="00FE1751">
        <w:t xml:space="preserve"> e</w:t>
      </w:r>
      <w:r w:rsidR="00623AA2">
        <w:t xml:space="preserve"> área externa </w:t>
      </w:r>
      <w:r w:rsidR="00623AA2" w:rsidRPr="00E03452">
        <w:t>desco</w:t>
      </w:r>
      <w:r w:rsidR="00597EA5" w:rsidRPr="00E03452">
        <w:t>berta</w:t>
      </w:r>
      <w:r w:rsidR="00405524" w:rsidRPr="00E03452">
        <w:t xml:space="preserve"> (</w:t>
      </w:r>
      <w:r w:rsidR="00374B2F" w:rsidRPr="00E03452">
        <w:t>1.360</w:t>
      </w:r>
      <w:r w:rsidR="00405524" w:rsidRPr="00E03452">
        <w:t xml:space="preserve"> m</w:t>
      </w:r>
      <w:r w:rsidR="00405524" w:rsidRPr="00E03452">
        <w:rPr>
          <w:vertAlign w:val="superscript"/>
        </w:rPr>
        <w:t>2</w:t>
      </w:r>
      <w:r w:rsidR="00405524" w:rsidRPr="00E03452">
        <w:t>)</w:t>
      </w:r>
      <w:r w:rsidR="00B51EEB" w:rsidRPr="00E03452">
        <w:t>.</w:t>
      </w:r>
    </w:p>
    <w:p w14:paraId="425D49CD" w14:textId="1550F49B" w:rsidR="00597EA5" w:rsidRDefault="000F4CE0" w:rsidP="00630574">
      <w:pPr>
        <w:spacing w:before="120" w:after="0" w:line="240" w:lineRule="auto"/>
        <w:jc w:val="both"/>
      </w:pPr>
      <w:r>
        <w:t xml:space="preserve">A reforma compreende a revisão </w:t>
      </w:r>
      <w:r w:rsidR="00D33152">
        <w:t xml:space="preserve">geral de projetos, com modificações de </w:t>
      </w:r>
      <w:r w:rsidR="00054B9F">
        <w:t>layout</w:t>
      </w:r>
      <w:r w:rsidR="00D33152">
        <w:t>,</w:t>
      </w:r>
      <w:r w:rsidR="005B52EA">
        <w:t xml:space="preserve"> </w:t>
      </w:r>
      <w:r w:rsidR="007074CA">
        <w:t xml:space="preserve">substituição de aberturas, </w:t>
      </w:r>
      <w:r w:rsidR="0042313D">
        <w:t xml:space="preserve"> de </w:t>
      </w:r>
      <w:r w:rsidR="007074CA">
        <w:t>revestimentos de pisos, de paredes e de forros</w:t>
      </w:r>
      <w:r w:rsidR="00FC7E74">
        <w:t>, louças e metais sanitários,</w:t>
      </w:r>
      <w:r w:rsidR="00B94AC3">
        <w:t xml:space="preserve"> pintura</w:t>
      </w:r>
      <w:r w:rsidR="00990C2E">
        <w:t>s</w:t>
      </w:r>
      <w:r w:rsidR="000E6708">
        <w:t xml:space="preserve"> e</w:t>
      </w:r>
      <w:r w:rsidR="00FC7E74">
        <w:t xml:space="preserve"> nova</w:t>
      </w:r>
      <w:r w:rsidR="000E6708">
        <w:t>s</w:t>
      </w:r>
      <w:r w:rsidR="00FC7E74">
        <w:t xml:space="preserve"> impermeabilizaç</w:t>
      </w:r>
      <w:r w:rsidR="000E6708">
        <w:t>ões</w:t>
      </w:r>
      <w:r w:rsidR="00AC1B15">
        <w:t>;</w:t>
      </w:r>
      <w:r w:rsidR="00FC7E74">
        <w:t xml:space="preserve"> </w:t>
      </w:r>
      <w:r w:rsidR="00503E6F">
        <w:t>modernização (fornecimento e instalação)</w:t>
      </w:r>
      <w:r w:rsidR="006A0084">
        <w:t xml:space="preserve"> dos sistemas de combate a incêndio, </w:t>
      </w:r>
      <w:r w:rsidR="000D3685">
        <w:t>hidrossanitário</w:t>
      </w:r>
      <w:r w:rsidR="00EA26F4">
        <w:t>,</w:t>
      </w:r>
      <w:r w:rsidR="000D3685">
        <w:t xml:space="preserve"> </w:t>
      </w:r>
      <w:r w:rsidR="007D0FDD">
        <w:t>ar-condicionado</w:t>
      </w:r>
      <w:r w:rsidR="000071D9">
        <w:t>, exaustão e ventilação</w:t>
      </w:r>
      <w:r w:rsidR="007D0FDD">
        <w:t>, elétrico, mecânico, automação, telecomunicações</w:t>
      </w:r>
      <w:r w:rsidR="0009655C">
        <w:t>; instalação de plataformas elevatórias (</w:t>
      </w:r>
      <w:proofErr w:type="spellStart"/>
      <w:r w:rsidR="0009655C">
        <w:t>PcD</w:t>
      </w:r>
      <w:proofErr w:type="spellEnd"/>
      <w:r w:rsidR="0009655C">
        <w:t xml:space="preserve">), </w:t>
      </w:r>
      <w:r w:rsidR="00AC1B15">
        <w:t xml:space="preserve">sinalização e comunicação visual, móveis </w:t>
      </w:r>
      <w:r w:rsidR="00503E6F">
        <w:t>planejados, divisórias e biombos</w:t>
      </w:r>
      <w:r w:rsidR="00DA1E3B">
        <w:t>.</w:t>
      </w:r>
    </w:p>
    <w:p w14:paraId="2C84352D" w14:textId="655BC15A" w:rsidR="00B8440D" w:rsidRDefault="00503E6F" w:rsidP="00630574">
      <w:pPr>
        <w:spacing w:before="120" w:after="0" w:line="240" w:lineRule="auto"/>
        <w:jc w:val="both"/>
      </w:pPr>
      <w:r w:rsidRPr="00E03452">
        <w:t>Sobre a laje do hall de jusante é prevista a construção de área de vivência</w:t>
      </w:r>
      <w:r w:rsidR="00405524" w:rsidRPr="00E03452">
        <w:t xml:space="preserve"> (</w:t>
      </w:r>
      <w:r w:rsidR="00BA1271" w:rsidRPr="00E03452">
        <w:t>área interna de 820</w:t>
      </w:r>
      <w:r w:rsidR="00405524" w:rsidRPr="00E03452">
        <w:t xml:space="preserve"> m</w:t>
      </w:r>
      <w:r w:rsidR="00405524" w:rsidRPr="00E03452">
        <w:rPr>
          <w:vertAlign w:val="superscript"/>
        </w:rPr>
        <w:t>2</w:t>
      </w:r>
      <w:r w:rsidR="00BA1271" w:rsidRPr="00E03452">
        <w:t xml:space="preserve"> e</w:t>
      </w:r>
      <w:r w:rsidR="00D63595" w:rsidRPr="00E03452">
        <w:t xml:space="preserve"> área externa de 1.560 m</w:t>
      </w:r>
      <w:r w:rsidR="00D63595" w:rsidRPr="00E03452">
        <w:rPr>
          <w:vertAlign w:val="superscript"/>
        </w:rPr>
        <w:t>2</w:t>
      </w:r>
      <w:r w:rsidR="00D63595" w:rsidRPr="00E03452">
        <w:t>)</w:t>
      </w:r>
      <w:r w:rsidRPr="00E03452">
        <w:t xml:space="preserve">, </w:t>
      </w:r>
      <w:r w:rsidR="00300E54" w:rsidRPr="00E03452">
        <w:t xml:space="preserve">com </w:t>
      </w:r>
      <w:r w:rsidR="00300E54">
        <w:t xml:space="preserve">acesso </w:t>
      </w:r>
      <w:r w:rsidR="002C2DB0">
        <w:t>direto</w:t>
      </w:r>
      <w:r w:rsidR="000707F9">
        <w:t xml:space="preserve"> a partir </w:t>
      </w:r>
      <w:r w:rsidR="00C10754">
        <w:t xml:space="preserve">do 1º piso do Edifício de Produção, ou </w:t>
      </w:r>
      <w:r w:rsidR="00300E54">
        <w:t xml:space="preserve">por </w:t>
      </w:r>
      <w:r w:rsidR="00C10754">
        <w:t xml:space="preserve">2 </w:t>
      </w:r>
      <w:r w:rsidR="00300E54">
        <w:t>escadas rolantes</w:t>
      </w:r>
      <w:r w:rsidR="00C10754">
        <w:t xml:space="preserve"> a partir do </w:t>
      </w:r>
      <w:r w:rsidR="00943B28">
        <w:t>pavimento térreo</w:t>
      </w:r>
      <w:r w:rsidR="00300E54">
        <w:t xml:space="preserve">, </w:t>
      </w:r>
      <w:r w:rsidR="002843B5">
        <w:t xml:space="preserve">destinada </w:t>
      </w:r>
      <w:r w:rsidR="00B953D9">
        <w:t>a refeições</w:t>
      </w:r>
      <w:r w:rsidR="00EF3AB2">
        <w:t xml:space="preserve"> dos empregados</w:t>
      </w:r>
      <w:r w:rsidR="00B953D9">
        <w:t xml:space="preserve"> e</w:t>
      </w:r>
      <w:r w:rsidR="002843B5">
        <w:t xml:space="preserve"> descanso </w:t>
      </w:r>
      <w:proofErr w:type="spellStart"/>
      <w:proofErr w:type="gramStart"/>
      <w:r w:rsidR="002843B5">
        <w:t>intra-jornadas</w:t>
      </w:r>
      <w:proofErr w:type="spellEnd"/>
      <w:proofErr w:type="gramEnd"/>
      <w:r w:rsidR="002843B5">
        <w:t xml:space="preserve">, </w:t>
      </w:r>
      <w:r w:rsidR="00D24203">
        <w:t>com espaço</w:t>
      </w:r>
      <w:r w:rsidR="001C68E1">
        <w:t>s</w:t>
      </w:r>
      <w:r w:rsidR="00D24203">
        <w:t xml:space="preserve"> de copa</w:t>
      </w:r>
      <w:r w:rsidR="00B953D9">
        <w:t xml:space="preserve"> e</w:t>
      </w:r>
      <w:r w:rsidR="00D24203">
        <w:t xml:space="preserve"> cafeteria</w:t>
      </w:r>
      <w:r w:rsidR="00ED69DD">
        <w:t>.</w:t>
      </w:r>
    </w:p>
    <w:p w14:paraId="5FA4D983" w14:textId="24D4EC32" w:rsidR="00945A9F" w:rsidRDefault="001F15CC" w:rsidP="00630574">
      <w:pPr>
        <w:spacing w:before="120" w:after="0" w:line="240" w:lineRule="auto"/>
        <w:jc w:val="both"/>
      </w:pPr>
      <w:r>
        <w:t xml:space="preserve">As </w:t>
      </w:r>
      <w:r w:rsidR="00C96FBC">
        <w:t>obras conta</w:t>
      </w:r>
      <w:r>
        <w:t>m</w:t>
      </w:r>
      <w:r w:rsidR="00C96FBC">
        <w:t xml:space="preserve"> com </w:t>
      </w:r>
      <w:r w:rsidR="000C0683">
        <w:t xml:space="preserve">cerca de </w:t>
      </w:r>
      <w:r w:rsidR="00C96FBC">
        <w:t>98</w:t>
      </w:r>
      <w:r w:rsidR="000C0683">
        <w:t>0</w:t>
      </w:r>
      <w:r w:rsidR="00C96FBC">
        <w:t xml:space="preserve"> </w:t>
      </w:r>
      <w:r>
        <w:t xml:space="preserve">documentos dentre projetos, </w:t>
      </w:r>
      <w:r w:rsidR="003E0D26">
        <w:t xml:space="preserve">especificações, </w:t>
      </w:r>
      <w:r>
        <w:t>memoriais descritivos, memórias de cálculo</w:t>
      </w:r>
      <w:r w:rsidR="00603FF4">
        <w:t xml:space="preserve"> e</w:t>
      </w:r>
      <w:r>
        <w:t xml:space="preserve"> </w:t>
      </w:r>
      <w:r w:rsidR="003E0D26">
        <w:t>listas de materiais</w:t>
      </w:r>
      <w:r w:rsidR="00603FF4">
        <w:t>.</w:t>
      </w:r>
    </w:p>
    <w:p w14:paraId="0A2E3732" w14:textId="77777777" w:rsidR="00423FBC" w:rsidRDefault="00423FBC" w:rsidP="00630574">
      <w:pPr>
        <w:spacing w:before="120" w:after="0" w:line="240" w:lineRule="auto"/>
        <w:jc w:val="both"/>
      </w:pPr>
      <w:r>
        <w:t xml:space="preserve">A reforma busca fazer um retrofit do Edifício, cuja obra foi finalizada em </w:t>
      </w:r>
      <w:r w:rsidRPr="00BF71A3">
        <w:t>1996</w:t>
      </w:r>
      <w:r>
        <w:t>, incorporando novos materiais e tecnologias para convertê-lo em um espaço completamente renovado, compatível com as características dos modernos edifícios corporativos.</w:t>
      </w:r>
    </w:p>
    <w:p w14:paraId="177611D5" w14:textId="77777777" w:rsidR="00945A9F" w:rsidRDefault="00945A9F">
      <w:r>
        <w:br w:type="page"/>
      </w:r>
    </w:p>
    <w:p w14:paraId="2796DFCA" w14:textId="40D04183" w:rsidR="00945A9F" w:rsidRPr="00E10FAF" w:rsidRDefault="00945A9F" w:rsidP="00945A9F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Novos Almoxarifados</w:t>
      </w:r>
    </w:p>
    <w:p w14:paraId="6213FFD4" w14:textId="77777777" w:rsidR="00945A9F" w:rsidRDefault="00945A9F" w:rsidP="00945A9F">
      <w:pPr>
        <w:spacing w:after="0" w:line="240" w:lineRule="auto"/>
        <w:ind w:firstLine="567"/>
        <w:jc w:val="both"/>
      </w:pPr>
    </w:p>
    <w:p w14:paraId="344A51BE" w14:textId="77777777" w:rsidR="00945A9F" w:rsidRDefault="00945A9F" w:rsidP="00945A9F">
      <w:pPr>
        <w:spacing w:after="0" w:line="240" w:lineRule="auto"/>
        <w:ind w:firstLine="567"/>
        <w:jc w:val="both"/>
      </w:pPr>
    </w:p>
    <w:p w14:paraId="239CEB56" w14:textId="485E505C" w:rsidR="002F03C1" w:rsidRPr="003061D3" w:rsidRDefault="00DA0219" w:rsidP="00630574">
      <w:pPr>
        <w:spacing w:after="0" w:line="240" w:lineRule="auto"/>
        <w:jc w:val="both"/>
      </w:pPr>
      <w:r w:rsidRPr="003061D3">
        <w:t xml:space="preserve">Trata-se da construção de </w:t>
      </w:r>
      <w:r w:rsidR="007E5C2E" w:rsidRPr="003061D3">
        <w:t xml:space="preserve">dois novos almoxarifados </w:t>
      </w:r>
      <w:r w:rsidR="00F3260E">
        <w:t>destinados</w:t>
      </w:r>
      <w:r w:rsidR="0084372F" w:rsidRPr="003061D3">
        <w:t xml:space="preserve"> ao Plano de Atualização Tecnológica da usina de Itaipu</w:t>
      </w:r>
      <w:r w:rsidR="002F03C1" w:rsidRPr="003061D3">
        <w:t>, sendo um em cada margem, assim distribuídos:</w:t>
      </w:r>
    </w:p>
    <w:p w14:paraId="386D39B2" w14:textId="18F75DBF" w:rsidR="003928A6" w:rsidRPr="003061D3" w:rsidRDefault="002022FA" w:rsidP="00D15E4E">
      <w:pPr>
        <w:spacing w:before="120" w:after="0" w:line="240" w:lineRule="auto"/>
        <w:ind w:firstLine="567"/>
        <w:jc w:val="both"/>
      </w:pPr>
      <w:r w:rsidRPr="003061D3">
        <w:t>Na Margem Direita</w:t>
      </w:r>
      <w:r w:rsidR="00E5724A">
        <w:t xml:space="preserve"> – Paraguai </w:t>
      </w:r>
      <w:r w:rsidRPr="003061D3">
        <w:t xml:space="preserve">(Depósitos MD): </w:t>
      </w:r>
    </w:p>
    <w:p w14:paraId="31CC62D8" w14:textId="0E8C9419" w:rsidR="003928A6" w:rsidRPr="003061D3" w:rsidRDefault="002022FA" w:rsidP="007A4A53">
      <w:pPr>
        <w:pStyle w:val="PargrafodaLista"/>
        <w:numPr>
          <w:ilvl w:val="0"/>
          <w:numId w:val="3"/>
        </w:numPr>
        <w:spacing w:after="0" w:line="240" w:lineRule="auto"/>
        <w:ind w:left="993" w:hanging="284"/>
        <w:jc w:val="both"/>
      </w:pPr>
      <w:r w:rsidRPr="003061D3">
        <w:t xml:space="preserve">Depósito da Atualização Tecnológica MD, </w:t>
      </w:r>
      <w:r w:rsidR="00B94AFD" w:rsidRPr="003061D3">
        <w:t>incluída</w:t>
      </w:r>
      <w:r w:rsidRPr="003061D3">
        <w:t xml:space="preserve"> sua área administrativa: 3.238m²</w:t>
      </w:r>
      <w:r w:rsidR="003928A6" w:rsidRPr="003061D3">
        <w:t>;</w:t>
      </w:r>
    </w:p>
    <w:p w14:paraId="2CA24594" w14:textId="02EB1AC8" w:rsidR="003928A6" w:rsidRPr="003061D3" w:rsidRDefault="002022FA" w:rsidP="007A4A53">
      <w:pPr>
        <w:pStyle w:val="PargrafodaLista"/>
        <w:numPr>
          <w:ilvl w:val="0"/>
          <w:numId w:val="3"/>
        </w:numPr>
        <w:spacing w:after="0" w:line="240" w:lineRule="auto"/>
        <w:ind w:left="993" w:hanging="284"/>
        <w:jc w:val="both"/>
      </w:pPr>
      <w:r w:rsidRPr="003061D3">
        <w:t xml:space="preserve">Depósito da Diretoria Financeira, </w:t>
      </w:r>
      <w:r w:rsidR="00B94AFD" w:rsidRPr="003061D3">
        <w:t>incluída</w:t>
      </w:r>
      <w:r w:rsidRPr="003061D3">
        <w:t xml:space="preserve"> su</w:t>
      </w:r>
      <w:r w:rsidR="00B94AFD" w:rsidRPr="003061D3">
        <w:t>a</w:t>
      </w:r>
      <w:r w:rsidRPr="003061D3">
        <w:t xml:space="preserve"> área administrativa: 1.396 m²</w:t>
      </w:r>
      <w:r w:rsidR="003928A6" w:rsidRPr="003061D3">
        <w:t>;</w:t>
      </w:r>
    </w:p>
    <w:p w14:paraId="655180AC" w14:textId="106F0FC0" w:rsidR="003928A6" w:rsidRPr="003061D3" w:rsidRDefault="002022FA" w:rsidP="007A4A53">
      <w:pPr>
        <w:pStyle w:val="PargrafodaLista"/>
        <w:numPr>
          <w:ilvl w:val="0"/>
          <w:numId w:val="3"/>
        </w:numPr>
        <w:spacing w:after="0" w:line="240" w:lineRule="auto"/>
        <w:ind w:left="993" w:hanging="284"/>
        <w:jc w:val="both"/>
        <w:rPr>
          <w:spacing w:val="-4"/>
        </w:rPr>
      </w:pPr>
      <w:r w:rsidRPr="003061D3">
        <w:rPr>
          <w:spacing w:val="-4"/>
        </w:rPr>
        <w:t>A</w:t>
      </w:r>
      <w:r w:rsidR="00B94AFD" w:rsidRPr="003061D3">
        <w:rPr>
          <w:spacing w:val="-4"/>
        </w:rPr>
        <w:t>rmaz</w:t>
      </w:r>
      <w:r w:rsidR="003928A6" w:rsidRPr="003061D3">
        <w:rPr>
          <w:spacing w:val="-4"/>
        </w:rPr>
        <w:t>enamento</w:t>
      </w:r>
      <w:r w:rsidRPr="003061D3">
        <w:rPr>
          <w:spacing w:val="-4"/>
        </w:rPr>
        <w:t xml:space="preserve"> de </w:t>
      </w:r>
      <w:proofErr w:type="spellStart"/>
      <w:r w:rsidR="003928A6" w:rsidRPr="003061D3">
        <w:rPr>
          <w:spacing w:val="-4"/>
        </w:rPr>
        <w:t>equip</w:t>
      </w:r>
      <w:proofErr w:type="spellEnd"/>
      <w:r w:rsidR="003928A6" w:rsidRPr="003061D3">
        <w:rPr>
          <w:spacing w:val="-4"/>
        </w:rPr>
        <w:t>. ao ar livre</w:t>
      </w:r>
      <w:r w:rsidRPr="003061D3">
        <w:rPr>
          <w:spacing w:val="-4"/>
        </w:rPr>
        <w:t xml:space="preserve">: 3.009 m² (piso de </w:t>
      </w:r>
      <w:r w:rsidR="003928A6" w:rsidRPr="003061D3">
        <w:rPr>
          <w:spacing w:val="-4"/>
        </w:rPr>
        <w:t>concreto) e</w:t>
      </w:r>
      <w:r w:rsidRPr="003061D3">
        <w:rPr>
          <w:spacing w:val="-4"/>
        </w:rPr>
        <w:t xml:space="preserve"> 7.939 m²</w:t>
      </w:r>
      <w:r w:rsidR="003928A6" w:rsidRPr="003061D3">
        <w:rPr>
          <w:spacing w:val="-4"/>
        </w:rPr>
        <w:t xml:space="preserve"> </w:t>
      </w:r>
      <w:r w:rsidRPr="003061D3">
        <w:rPr>
          <w:spacing w:val="-4"/>
        </w:rPr>
        <w:t>(</w:t>
      </w:r>
      <w:r w:rsidR="003928A6" w:rsidRPr="003061D3">
        <w:rPr>
          <w:spacing w:val="-4"/>
        </w:rPr>
        <w:t>pátio com brita</w:t>
      </w:r>
      <w:r w:rsidRPr="003061D3">
        <w:rPr>
          <w:spacing w:val="-4"/>
        </w:rPr>
        <w:t>)</w:t>
      </w:r>
      <w:r w:rsidR="003928A6" w:rsidRPr="003061D3">
        <w:rPr>
          <w:spacing w:val="-4"/>
        </w:rPr>
        <w:t>;</w:t>
      </w:r>
    </w:p>
    <w:p w14:paraId="175E4709" w14:textId="0FBBE8DC" w:rsidR="002022FA" w:rsidRPr="003061D3" w:rsidRDefault="002022FA" w:rsidP="007A4A53">
      <w:pPr>
        <w:pStyle w:val="PargrafodaLista"/>
        <w:numPr>
          <w:ilvl w:val="0"/>
          <w:numId w:val="3"/>
        </w:numPr>
        <w:spacing w:after="0" w:line="240" w:lineRule="auto"/>
        <w:ind w:left="993" w:hanging="284"/>
        <w:jc w:val="both"/>
      </w:pPr>
      <w:r w:rsidRPr="003061D3">
        <w:t>G</w:t>
      </w:r>
      <w:r w:rsidR="003928A6" w:rsidRPr="003061D3">
        <w:t>u</w:t>
      </w:r>
      <w:r w:rsidRPr="003061D3">
        <w:t>arita de control</w:t>
      </w:r>
      <w:r w:rsidR="003928A6" w:rsidRPr="003061D3">
        <w:t>e</w:t>
      </w:r>
      <w:r w:rsidRPr="003061D3">
        <w:t>: 15 m².</w:t>
      </w:r>
    </w:p>
    <w:p w14:paraId="2DFEA1C8" w14:textId="03D9B5E6" w:rsidR="003928A6" w:rsidRPr="003061D3" w:rsidRDefault="002022FA" w:rsidP="00D15E4E">
      <w:pPr>
        <w:spacing w:before="120" w:after="0" w:line="240" w:lineRule="auto"/>
        <w:ind w:firstLine="567"/>
        <w:jc w:val="both"/>
      </w:pPr>
      <w:r w:rsidRPr="003061D3">
        <w:t xml:space="preserve"> </w:t>
      </w:r>
      <w:r w:rsidR="003928A6" w:rsidRPr="003061D3">
        <w:t xml:space="preserve">Na </w:t>
      </w:r>
      <w:r w:rsidRPr="003061D3">
        <w:t>Marge</w:t>
      </w:r>
      <w:r w:rsidR="003928A6" w:rsidRPr="003061D3">
        <w:t>m</w:t>
      </w:r>
      <w:r w:rsidRPr="003061D3">
        <w:t xml:space="preserve"> </w:t>
      </w:r>
      <w:r w:rsidR="003928A6" w:rsidRPr="003061D3">
        <w:t>Esquerda</w:t>
      </w:r>
      <w:r w:rsidR="00E5724A">
        <w:t xml:space="preserve"> – Brasil </w:t>
      </w:r>
      <w:r w:rsidRPr="003061D3">
        <w:t>(Depósitos M</w:t>
      </w:r>
      <w:r w:rsidR="003928A6" w:rsidRPr="003061D3">
        <w:t>E</w:t>
      </w:r>
      <w:r w:rsidRPr="003061D3">
        <w:t xml:space="preserve">): </w:t>
      </w:r>
    </w:p>
    <w:p w14:paraId="69DC5ED0" w14:textId="73F5C69D" w:rsidR="003928A6" w:rsidRPr="003061D3" w:rsidRDefault="002022FA" w:rsidP="007A4A53">
      <w:pPr>
        <w:pStyle w:val="PargrafodaLista"/>
        <w:numPr>
          <w:ilvl w:val="0"/>
          <w:numId w:val="3"/>
        </w:numPr>
        <w:spacing w:after="0" w:line="240" w:lineRule="auto"/>
        <w:ind w:left="993" w:hanging="284"/>
        <w:jc w:val="both"/>
      </w:pPr>
      <w:r w:rsidRPr="003061D3">
        <w:t>Depósito G11: 1.015 m²</w:t>
      </w:r>
      <w:r w:rsidR="003928A6" w:rsidRPr="003061D3">
        <w:t>;</w:t>
      </w:r>
    </w:p>
    <w:p w14:paraId="78080338" w14:textId="36D16C66" w:rsidR="003928A6" w:rsidRPr="003061D3" w:rsidRDefault="002022FA" w:rsidP="007A4A53">
      <w:pPr>
        <w:pStyle w:val="PargrafodaLista"/>
        <w:numPr>
          <w:ilvl w:val="0"/>
          <w:numId w:val="3"/>
        </w:numPr>
        <w:spacing w:after="0" w:line="240" w:lineRule="auto"/>
        <w:ind w:left="993" w:hanging="284"/>
        <w:jc w:val="both"/>
      </w:pPr>
      <w:r w:rsidRPr="003061D3">
        <w:t>Depósito G12: 2.724 m²</w:t>
      </w:r>
      <w:r w:rsidR="003928A6" w:rsidRPr="003061D3">
        <w:t>;</w:t>
      </w:r>
    </w:p>
    <w:p w14:paraId="20A25529" w14:textId="77777777" w:rsidR="003928A6" w:rsidRPr="003061D3" w:rsidRDefault="003928A6" w:rsidP="007A4A53">
      <w:pPr>
        <w:pStyle w:val="PargrafodaLista"/>
        <w:numPr>
          <w:ilvl w:val="0"/>
          <w:numId w:val="3"/>
        </w:numPr>
        <w:spacing w:after="0" w:line="240" w:lineRule="auto"/>
        <w:ind w:left="993" w:hanging="284"/>
        <w:jc w:val="both"/>
      </w:pPr>
      <w:r w:rsidRPr="003061D3">
        <w:t>Edifício</w:t>
      </w:r>
      <w:r w:rsidR="002022FA" w:rsidRPr="003061D3">
        <w:t xml:space="preserve"> Administrativo: 258 m²</w:t>
      </w:r>
      <w:r w:rsidRPr="003061D3">
        <w:t>;</w:t>
      </w:r>
    </w:p>
    <w:p w14:paraId="6756C3E4" w14:textId="55568DAE" w:rsidR="002F03C1" w:rsidRPr="003061D3" w:rsidRDefault="007A4A53" w:rsidP="007A4A53">
      <w:pPr>
        <w:pStyle w:val="PargrafodaLista"/>
        <w:numPr>
          <w:ilvl w:val="0"/>
          <w:numId w:val="3"/>
        </w:numPr>
        <w:spacing w:after="0" w:line="240" w:lineRule="auto"/>
        <w:ind w:left="993" w:hanging="284"/>
        <w:jc w:val="both"/>
      </w:pPr>
      <w:r w:rsidRPr="003061D3">
        <w:t>A</w:t>
      </w:r>
      <w:r w:rsidR="003928A6" w:rsidRPr="003061D3">
        <w:t>rmazenamento de equipamentos ao ar livre</w:t>
      </w:r>
      <w:r w:rsidR="002022FA" w:rsidRPr="003061D3">
        <w:t>: 7.600 m².</w:t>
      </w:r>
    </w:p>
    <w:p w14:paraId="4436DB70" w14:textId="1710FCDE" w:rsidR="00C25093" w:rsidRDefault="0054623A" w:rsidP="00630574">
      <w:pPr>
        <w:spacing w:before="120" w:after="0" w:line="240" w:lineRule="auto"/>
        <w:jc w:val="both"/>
      </w:pPr>
      <w:r w:rsidRPr="003061D3">
        <w:t xml:space="preserve">As obras e serviços compreendem </w:t>
      </w:r>
      <w:r w:rsidR="00962FF0" w:rsidRPr="003061D3">
        <w:t xml:space="preserve">a elaboração de projeto executivo completo, </w:t>
      </w:r>
      <w:r w:rsidR="00C25093" w:rsidRPr="003061D3">
        <w:t xml:space="preserve">execução de obras civis e eletromecânicas incluindo o fornecimento de materiais </w:t>
      </w:r>
      <w:r w:rsidR="00962FF0" w:rsidRPr="003061D3">
        <w:t>e equipamentos</w:t>
      </w:r>
      <w:r w:rsidR="00A94057" w:rsidRPr="003061D3">
        <w:t>;</w:t>
      </w:r>
      <w:r w:rsidR="001F0E6E" w:rsidRPr="003061D3">
        <w:t xml:space="preserve"> sistemas elétricos e eletrônicos, </w:t>
      </w:r>
      <w:r w:rsidR="001F41E6" w:rsidRPr="003061D3">
        <w:t>aterramentos, telefonia, dados, circuito fechado de TV</w:t>
      </w:r>
      <w:r w:rsidR="00A94057" w:rsidRPr="003061D3">
        <w:t xml:space="preserve"> e controles de acesso; </w:t>
      </w:r>
      <w:r w:rsidR="00A94373" w:rsidRPr="003061D3">
        <w:t xml:space="preserve">detecção e combate a incêndio, ar condicionando, </w:t>
      </w:r>
      <w:r w:rsidR="00966674" w:rsidRPr="003061D3">
        <w:t>2 gruas com capacidade de caga de 10 t, 10 plataformas elevador</w:t>
      </w:r>
      <w:r w:rsidR="00B60665" w:rsidRPr="003061D3">
        <w:t>as (docas) com capacidade de 10 t</w:t>
      </w:r>
      <w:r w:rsidR="00FD0185">
        <w:t xml:space="preserve"> e </w:t>
      </w:r>
      <w:r w:rsidR="00E01E95">
        <w:t xml:space="preserve">uma </w:t>
      </w:r>
      <w:r w:rsidR="00FD0185">
        <w:t>balança rodoviária para 70 t.</w:t>
      </w:r>
    </w:p>
    <w:p w14:paraId="4E41BEC2" w14:textId="2F66576E" w:rsidR="00C25093" w:rsidRDefault="00613B3B" w:rsidP="00630574">
      <w:pPr>
        <w:spacing w:before="120" w:after="0" w:line="240" w:lineRule="auto"/>
        <w:jc w:val="both"/>
      </w:pPr>
      <w:r>
        <w:t xml:space="preserve">As obras contam com cerca de </w:t>
      </w:r>
      <w:r w:rsidR="003061D3">
        <w:t>30</w:t>
      </w:r>
      <w:r>
        <w:t xml:space="preserve"> documentos básicos</w:t>
      </w:r>
      <w:r w:rsidR="005E33F2">
        <w:t xml:space="preserve"> (</w:t>
      </w:r>
      <w:r w:rsidR="003061D3">
        <w:t>anteprojetos</w:t>
      </w:r>
      <w:r>
        <w:t>,</w:t>
      </w:r>
      <w:r w:rsidR="009D422A">
        <w:t xml:space="preserve"> </w:t>
      </w:r>
      <w:r>
        <w:t>memoriais descritivos</w:t>
      </w:r>
      <w:r w:rsidR="00A54D72">
        <w:t xml:space="preserve"> e</w:t>
      </w:r>
      <w:r>
        <w:t xml:space="preserve"> listas de materiais</w:t>
      </w:r>
      <w:r w:rsidR="00A54D72">
        <w:t>), a partir dos quais devem ser elaborados os projetos executivos e demais documentos complementares</w:t>
      </w:r>
      <w:r w:rsidR="0060744E">
        <w:t>.</w:t>
      </w:r>
    </w:p>
    <w:p w14:paraId="6D9F338E" w14:textId="595D86B6" w:rsidR="006455CF" w:rsidRDefault="001B78A8" w:rsidP="00630574">
      <w:pPr>
        <w:spacing w:before="120" w:after="0" w:line="240" w:lineRule="auto"/>
        <w:jc w:val="both"/>
      </w:pPr>
      <w:r>
        <w:t>As edificações são compostas por estruturas de concreto</w:t>
      </w:r>
      <w:r w:rsidR="001D411C">
        <w:t xml:space="preserve"> armado pré-moldado e </w:t>
      </w:r>
      <w:proofErr w:type="spellStart"/>
      <w:r w:rsidR="001D411C">
        <w:t>in-loco</w:t>
      </w:r>
      <w:proofErr w:type="spellEnd"/>
      <w:r w:rsidR="001D411C">
        <w:t xml:space="preserve">, </w:t>
      </w:r>
      <w:r w:rsidR="00FC6673">
        <w:t>cobertura em estrutura metálica, fechamentos com alvenaria de blocos de concreto</w:t>
      </w:r>
      <w:r w:rsidR="006332C9">
        <w:t>, paredes internas em blocos cerâmicos,</w:t>
      </w:r>
      <w:r w:rsidR="00F45A83">
        <w:t xml:space="preserve"> sistemas de</w:t>
      </w:r>
      <w:r w:rsidR="006332C9">
        <w:t xml:space="preserve"> impermeabilização</w:t>
      </w:r>
      <w:r w:rsidR="00F45A83">
        <w:t xml:space="preserve">, </w:t>
      </w:r>
      <w:r w:rsidR="00347F24">
        <w:t xml:space="preserve">lajes externas com isolamento térmico por argila expandida, </w:t>
      </w:r>
      <w:r w:rsidR="00A65233">
        <w:t>paredes com revestimento de argamassa</w:t>
      </w:r>
      <w:r w:rsidR="000E4DD5">
        <w:t>, ladrilhos cerâmicos e</w:t>
      </w:r>
      <w:r w:rsidR="004B7271">
        <w:t>/ou porcelanatos</w:t>
      </w:r>
      <w:r w:rsidR="008B1E4C">
        <w:t xml:space="preserve">, pisos </w:t>
      </w:r>
      <w:r w:rsidR="00D7373E">
        <w:t xml:space="preserve">internos </w:t>
      </w:r>
      <w:r w:rsidR="008B1E4C">
        <w:t>em concreto armado</w:t>
      </w:r>
      <w:r w:rsidR="00D7373E">
        <w:t xml:space="preserve"> e porcelanato</w:t>
      </w:r>
      <w:r w:rsidR="00435BCE">
        <w:t xml:space="preserve">, forros e tetos em laje de concreto, </w:t>
      </w:r>
      <w:r w:rsidR="007A1719">
        <w:t>fibra mineral e gesso acartonado, divisórias em vidro laminado</w:t>
      </w:r>
      <w:r w:rsidR="00CA48DD" w:rsidRPr="00CA48DD">
        <w:t xml:space="preserve"> </w:t>
      </w:r>
      <w:r w:rsidR="00CA48DD">
        <w:t>(piso-teto), granito</w:t>
      </w:r>
      <w:r w:rsidR="00DB2C93">
        <w:t xml:space="preserve">, portas </w:t>
      </w:r>
      <w:r w:rsidR="006F76A1">
        <w:t>de diferentes tipos e/ou materiais (</w:t>
      </w:r>
      <w:r w:rsidR="00DB2C93">
        <w:t>alumínio</w:t>
      </w:r>
      <w:r w:rsidR="00CA48DD">
        <w:t xml:space="preserve"> </w:t>
      </w:r>
      <w:r w:rsidR="00DB2C93">
        <w:t xml:space="preserve">tipo veneziana, corta fogo, </w:t>
      </w:r>
      <w:r w:rsidR="001A6E89">
        <w:t xml:space="preserve">vidro temperado, de enrolar em alumínio), </w:t>
      </w:r>
      <w:r w:rsidR="00AC469A">
        <w:t>pinturas internas e externas, sinalização e comunicação visual</w:t>
      </w:r>
      <w:r w:rsidR="0076515E">
        <w:t>.</w:t>
      </w:r>
    </w:p>
    <w:p w14:paraId="2BA74DCC" w14:textId="2238F810" w:rsidR="001F2E6E" w:rsidRDefault="00496618" w:rsidP="00630574">
      <w:pPr>
        <w:spacing w:before="120" w:after="0" w:line="240" w:lineRule="auto"/>
        <w:jc w:val="both"/>
      </w:pPr>
      <w:r>
        <w:t xml:space="preserve">As áreas externas </w:t>
      </w:r>
      <w:r w:rsidR="00D60F93">
        <w:t>dispõem de portões de acesso metálicos, cerca perimetral, paisagismo,</w:t>
      </w:r>
      <w:r w:rsidR="00D60F93" w:rsidRPr="00371228">
        <w:t xml:space="preserve"> </w:t>
      </w:r>
      <w:r w:rsidR="001F2E6E">
        <w:t xml:space="preserve">drenagem </w:t>
      </w:r>
      <w:r w:rsidR="00D60F93">
        <w:t>pluvial</w:t>
      </w:r>
      <w:r w:rsidR="008C3950">
        <w:t xml:space="preserve"> com </w:t>
      </w:r>
      <w:r w:rsidR="00413843">
        <w:t xml:space="preserve">canaletas, </w:t>
      </w:r>
      <w:r w:rsidR="008C3950">
        <w:t xml:space="preserve">caixas de passagem, </w:t>
      </w:r>
      <w:r w:rsidR="00413843">
        <w:t xml:space="preserve">poços de visita, </w:t>
      </w:r>
      <w:r w:rsidR="008C3950">
        <w:t xml:space="preserve">dissipadores de energia, tubulações </w:t>
      </w:r>
      <w:r w:rsidR="004335D7">
        <w:t xml:space="preserve">subterrâneas </w:t>
      </w:r>
      <w:r w:rsidR="008C3950">
        <w:t>em pvc e em concreto</w:t>
      </w:r>
      <w:r w:rsidR="00D60F93">
        <w:t xml:space="preserve">, </w:t>
      </w:r>
      <w:r>
        <w:t>pátio</w:t>
      </w:r>
      <w:r w:rsidR="004335D7">
        <w:t>s</w:t>
      </w:r>
      <w:r>
        <w:t xml:space="preserve"> em concreto armado ou brita</w:t>
      </w:r>
      <w:r w:rsidR="00285151">
        <w:t xml:space="preserve">, sistema viário com pavimentação asfáltica, </w:t>
      </w:r>
      <w:r w:rsidR="00F76E10">
        <w:t xml:space="preserve">meio-fio em concreto, </w:t>
      </w:r>
      <w:r w:rsidR="00371228">
        <w:t>sinalização viária</w:t>
      </w:r>
      <w:r w:rsidR="00B4009C">
        <w:t xml:space="preserve"> horizontal e vertical.</w:t>
      </w:r>
    </w:p>
    <w:p w14:paraId="215AAE08" w14:textId="4FACCB2A" w:rsidR="00BC5FFE" w:rsidRDefault="00BC5FFE" w:rsidP="00630574">
      <w:pPr>
        <w:spacing w:before="120" w:after="0" w:line="240" w:lineRule="auto"/>
        <w:jc w:val="both"/>
      </w:pPr>
      <w:r>
        <w:t>O</w:t>
      </w:r>
      <w:r w:rsidR="005A3E0A">
        <w:t xml:space="preserve"> abastecimento de água potável se dá através de conexões com as redes principais existentes </w:t>
      </w:r>
      <w:r w:rsidR="00037BDD">
        <w:t xml:space="preserve">em Itaipu, </w:t>
      </w:r>
      <w:r w:rsidR="00066A05">
        <w:t>localizadas em ambos os casos (MD e ME) a cerca de 100 m dos novos almoxarifados</w:t>
      </w:r>
      <w:r w:rsidR="0081713F">
        <w:t>, que alimentam reservatórios elevados para distribuição interna por gravidade.</w:t>
      </w:r>
      <w:r w:rsidR="0021218C">
        <w:t xml:space="preserve"> O esgotamento sanitário</w:t>
      </w:r>
      <w:r w:rsidR="00612A87">
        <w:t xml:space="preserve"> do almoxarifado MD é realizado por sistema de </w:t>
      </w:r>
      <w:r w:rsidR="00976861">
        <w:t xml:space="preserve">câmara séptica; no almoxarifado ME </w:t>
      </w:r>
      <w:r w:rsidR="00490C35">
        <w:t>o sistema é conectado à rede coletora existente.</w:t>
      </w:r>
    </w:p>
    <w:p w14:paraId="5C5AAB9D" w14:textId="0B4B2552" w:rsidR="00BF71A3" w:rsidRDefault="00EA01FA" w:rsidP="003F6295">
      <w:pPr>
        <w:spacing w:before="120" w:after="0" w:line="240" w:lineRule="auto"/>
        <w:jc w:val="both"/>
      </w:pPr>
      <w:r>
        <w:t>Ambos os almoxarifados MD e ME dispõem de sistemas de apro</w:t>
      </w:r>
      <w:r w:rsidR="00383106">
        <w:t>veitamento de águas de chuva para fins não potáveis.</w:t>
      </w:r>
    </w:p>
    <w:sectPr w:rsidR="00BF71A3" w:rsidSect="001159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B4BA5"/>
    <w:multiLevelType w:val="hybridMultilevel"/>
    <w:tmpl w:val="0AD03A66"/>
    <w:lvl w:ilvl="0" w:tplc="EB363008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932FA"/>
    <w:multiLevelType w:val="hybridMultilevel"/>
    <w:tmpl w:val="C4162D9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9827BC"/>
    <w:multiLevelType w:val="multilevel"/>
    <w:tmpl w:val="11566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25466F"/>
    <w:multiLevelType w:val="multilevel"/>
    <w:tmpl w:val="A440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C4D1D"/>
    <w:multiLevelType w:val="hybridMultilevel"/>
    <w:tmpl w:val="730621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6C2B99"/>
    <w:multiLevelType w:val="hybridMultilevel"/>
    <w:tmpl w:val="B25867A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86A50D9"/>
    <w:multiLevelType w:val="hybridMultilevel"/>
    <w:tmpl w:val="5FF25530"/>
    <w:lvl w:ilvl="0" w:tplc="D494E72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34780963">
    <w:abstractNumId w:val="2"/>
  </w:num>
  <w:num w:numId="2" w16cid:durableId="880437350">
    <w:abstractNumId w:val="3"/>
  </w:num>
  <w:num w:numId="3" w16cid:durableId="2040204098">
    <w:abstractNumId w:val="1"/>
  </w:num>
  <w:num w:numId="4" w16cid:durableId="1944730216">
    <w:abstractNumId w:val="5"/>
  </w:num>
  <w:num w:numId="5" w16cid:durableId="1967201570">
    <w:abstractNumId w:val="4"/>
  </w:num>
  <w:num w:numId="6" w16cid:durableId="153567902">
    <w:abstractNumId w:val="0"/>
  </w:num>
  <w:num w:numId="7" w16cid:durableId="21212913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31A"/>
    <w:rsid w:val="000071D9"/>
    <w:rsid w:val="000140CC"/>
    <w:rsid w:val="00037BDD"/>
    <w:rsid w:val="00054B9F"/>
    <w:rsid w:val="00066A05"/>
    <w:rsid w:val="000707F9"/>
    <w:rsid w:val="0009655C"/>
    <w:rsid w:val="000A5C6E"/>
    <w:rsid w:val="000C0683"/>
    <w:rsid w:val="000C2B0E"/>
    <w:rsid w:val="000D3685"/>
    <w:rsid w:val="000E4DD5"/>
    <w:rsid w:val="000E6708"/>
    <w:rsid w:val="000F4CE0"/>
    <w:rsid w:val="00103533"/>
    <w:rsid w:val="001159C5"/>
    <w:rsid w:val="00155D8B"/>
    <w:rsid w:val="00185CFC"/>
    <w:rsid w:val="001A4044"/>
    <w:rsid w:val="001A6E89"/>
    <w:rsid w:val="001B78A8"/>
    <w:rsid w:val="001C68E1"/>
    <w:rsid w:val="001D411C"/>
    <w:rsid w:val="001F0E6E"/>
    <w:rsid w:val="001F15CC"/>
    <w:rsid w:val="001F2E6E"/>
    <w:rsid w:val="001F41E6"/>
    <w:rsid w:val="002022FA"/>
    <w:rsid w:val="002100F5"/>
    <w:rsid w:val="0021218C"/>
    <w:rsid w:val="00223FB2"/>
    <w:rsid w:val="002843B5"/>
    <w:rsid w:val="00285151"/>
    <w:rsid w:val="002C2DB0"/>
    <w:rsid w:val="002E513C"/>
    <w:rsid w:val="002F03C1"/>
    <w:rsid w:val="00300E54"/>
    <w:rsid w:val="003061D3"/>
    <w:rsid w:val="003100DE"/>
    <w:rsid w:val="00331E7D"/>
    <w:rsid w:val="00347F24"/>
    <w:rsid w:val="003554F2"/>
    <w:rsid w:val="00371228"/>
    <w:rsid w:val="00374B2F"/>
    <w:rsid w:val="00383106"/>
    <w:rsid w:val="00387970"/>
    <w:rsid w:val="003928A6"/>
    <w:rsid w:val="003939B3"/>
    <w:rsid w:val="003E0D26"/>
    <w:rsid w:val="003F1029"/>
    <w:rsid w:val="003F6295"/>
    <w:rsid w:val="00405421"/>
    <w:rsid w:val="00405524"/>
    <w:rsid w:val="00413843"/>
    <w:rsid w:val="0042313D"/>
    <w:rsid w:val="00423FBC"/>
    <w:rsid w:val="004335D7"/>
    <w:rsid w:val="00435BCE"/>
    <w:rsid w:val="00460199"/>
    <w:rsid w:val="004825CC"/>
    <w:rsid w:val="00490C35"/>
    <w:rsid w:val="00496618"/>
    <w:rsid w:val="004B7271"/>
    <w:rsid w:val="004D4D11"/>
    <w:rsid w:val="004F3E1E"/>
    <w:rsid w:val="00503E6F"/>
    <w:rsid w:val="005177DE"/>
    <w:rsid w:val="0054623A"/>
    <w:rsid w:val="0055640D"/>
    <w:rsid w:val="0058233E"/>
    <w:rsid w:val="005849A8"/>
    <w:rsid w:val="00597EA5"/>
    <w:rsid w:val="005A3E0A"/>
    <w:rsid w:val="005B52EA"/>
    <w:rsid w:val="005E33F2"/>
    <w:rsid w:val="00603FF4"/>
    <w:rsid w:val="0060744E"/>
    <w:rsid w:val="00612A87"/>
    <w:rsid w:val="00613B3B"/>
    <w:rsid w:val="00614601"/>
    <w:rsid w:val="006171BA"/>
    <w:rsid w:val="00623AA2"/>
    <w:rsid w:val="00630574"/>
    <w:rsid w:val="006332C9"/>
    <w:rsid w:val="0064285A"/>
    <w:rsid w:val="006455CF"/>
    <w:rsid w:val="0068021D"/>
    <w:rsid w:val="006A0084"/>
    <w:rsid w:val="006B0642"/>
    <w:rsid w:val="006C62E8"/>
    <w:rsid w:val="006F76A1"/>
    <w:rsid w:val="007074CA"/>
    <w:rsid w:val="00713A4A"/>
    <w:rsid w:val="00745179"/>
    <w:rsid w:val="0076515E"/>
    <w:rsid w:val="00772658"/>
    <w:rsid w:val="00797A35"/>
    <w:rsid w:val="007A1719"/>
    <w:rsid w:val="007A2D4A"/>
    <w:rsid w:val="007A4A53"/>
    <w:rsid w:val="007D0FDD"/>
    <w:rsid w:val="007E5C2E"/>
    <w:rsid w:val="007F646C"/>
    <w:rsid w:val="0081713F"/>
    <w:rsid w:val="0084372F"/>
    <w:rsid w:val="0085278A"/>
    <w:rsid w:val="00863AB7"/>
    <w:rsid w:val="008A3A7C"/>
    <w:rsid w:val="008B1E4C"/>
    <w:rsid w:val="008C3950"/>
    <w:rsid w:val="008E2FE7"/>
    <w:rsid w:val="008E5FD5"/>
    <w:rsid w:val="008F28A0"/>
    <w:rsid w:val="00943B28"/>
    <w:rsid w:val="00945A9F"/>
    <w:rsid w:val="00955D88"/>
    <w:rsid w:val="00962FF0"/>
    <w:rsid w:val="009646AF"/>
    <w:rsid w:val="00966674"/>
    <w:rsid w:val="00976861"/>
    <w:rsid w:val="0098245A"/>
    <w:rsid w:val="00982A37"/>
    <w:rsid w:val="00990C2E"/>
    <w:rsid w:val="009C2629"/>
    <w:rsid w:val="009C6423"/>
    <w:rsid w:val="009D422A"/>
    <w:rsid w:val="009F6139"/>
    <w:rsid w:val="00A01637"/>
    <w:rsid w:val="00A54D72"/>
    <w:rsid w:val="00A65233"/>
    <w:rsid w:val="00A94057"/>
    <w:rsid w:val="00A94373"/>
    <w:rsid w:val="00AB20B9"/>
    <w:rsid w:val="00AC1B15"/>
    <w:rsid w:val="00AC469A"/>
    <w:rsid w:val="00B0198F"/>
    <w:rsid w:val="00B1387C"/>
    <w:rsid w:val="00B4009C"/>
    <w:rsid w:val="00B51EEB"/>
    <w:rsid w:val="00B51FE0"/>
    <w:rsid w:val="00B60665"/>
    <w:rsid w:val="00B8440D"/>
    <w:rsid w:val="00B94AC3"/>
    <w:rsid w:val="00B94AFD"/>
    <w:rsid w:val="00B953D9"/>
    <w:rsid w:val="00BA1139"/>
    <w:rsid w:val="00BA1271"/>
    <w:rsid w:val="00BB1964"/>
    <w:rsid w:val="00BC5FFE"/>
    <w:rsid w:val="00BE2793"/>
    <w:rsid w:val="00BF5AED"/>
    <w:rsid w:val="00BF71A3"/>
    <w:rsid w:val="00C10754"/>
    <w:rsid w:val="00C25093"/>
    <w:rsid w:val="00C632D0"/>
    <w:rsid w:val="00C92F6B"/>
    <w:rsid w:val="00C96FBC"/>
    <w:rsid w:val="00CA48DD"/>
    <w:rsid w:val="00CB6B20"/>
    <w:rsid w:val="00D12DD3"/>
    <w:rsid w:val="00D15E4E"/>
    <w:rsid w:val="00D24203"/>
    <w:rsid w:val="00D33152"/>
    <w:rsid w:val="00D571E6"/>
    <w:rsid w:val="00D60F93"/>
    <w:rsid w:val="00D63595"/>
    <w:rsid w:val="00D65478"/>
    <w:rsid w:val="00D7373E"/>
    <w:rsid w:val="00DA0219"/>
    <w:rsid w:val="00DA1E3B"/>
    <w:rsid w:val="00DA6D28"/>
    <w:rsid w:val="00DB2C93"/>
    <w:rsid w:val="00DD641E"/>
    <w:rsid w:val="00E01E95"/>
    <w:rsid w:val="00E03452"/>
    <w:rsid w:val="00E10FAF"/>
    <w:rsid w:val="00E342D1"/>
    <w:rsid w:val="00E5724A"/>
    <w:rsid w:val="00E80E41"/>
    <w:rsid w:val="00EA01FA"/>
    <w:rsid w:val="00EA26F4"/>
    <w:rsid w:val="00EA6827"/>
    <w:rsid w:val="00ED69DD"/>
    <w:rsid w:val="00EF3AB2"/>
    <w:rsid w:val="00F3260E"/>
    <w:rsid w:val="00F45A83"/>
    <w:rsid w:val="00F76E10"/>
    <w:rsid w:val="00F808FA"/>
    <w:rsid w:val="00F8731A"/>
    <w:rsid w:val="00FC6673"/>
    <w:rsid w:val="00FC7E74"/>
    <w:rsid w:val="00FD0185"/>
    <w:rsid w:val="00FE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0FA5"/>
  <w15:chartTrackingRefBased/>
  <w15:docId w15:val="{AFF97E71-12DC-43CF-8AFD-658A24C0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B3B"/>
  </w:style>
  <w:style w:type="paragraph" w:styleId="Ttulo1">
    <w:name w:val="heading 1"/>
    <w:basedOn w:val="Normal"/>
    <w:next w:val="Normal"/>
    <w:link w:val="Ttulo1Char"/>
    <w:uiPriority w:val="9"/>
    <w:qFormat/>
    <w:rsid w:val="00F873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873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873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873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873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873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873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873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873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873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873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873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8731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8731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8731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8731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8731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8731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873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873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873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873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873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8731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8731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8731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873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8731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873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3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309E9838113046B498F56F0ABC8DD6" ma:contentTypeVersion="14" ma:contentTypeDescription="Crear nuevo documento." ma:contentTypeScope="" ma:versionID="a6d0f94cbab2fb4a256e70b6a85199ec">
  <xsd:schema xmlns:xsd="http://www.w3.org/2001/XMLSchema" xmlns:xs="http://www.w3.org/2001/XMLSchema" xmlns:p="http://schemas.microsoft.com/office/2006/metadata/properties" xmlns:ns2="2f31c930-ad10-40a5-ab81-81fbaea15093" xmlns:ns3="6c4b3e70-f73b-4d1f-b41e-48f29bfe3efb" targetNamespace="http://schemas.microsoft.com/office/2006/metadata/properties" ma:root="true" ma:fieldsID="3735742d8e5f998e5e7a352a17871cd6" ns2:_="" ns3:_="">
    <xsd:import namespace="2f31c930-ad10-40a5-ab81-81fbaea15093"/>
    <xsd:import namespace="6c4b3e70-f73b-4d1f-b41e-48f29bfe3ef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1c930-ad10-40a5-ab81-81fbaea150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b3e70-f73b-4d1f-b41e-48f29bfe3e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26c01fdd-2a87-4ccc-945e-4b3885ea15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b3e70-f73b-4d1f-b41e-48f29bfe3e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5C9C89-8974-4CEE-9E6D-113BE1D0E5F5}"/>
</file>

<file path=customXml/itemProps2.xml><?xml version="1.0" encoding="utf-8"?>
<ds:datastoreItem xmlns:ds="http://schemas.openxmlformats.org/officeDocument/2006/customXml" ds:itemID="{C70ACAA3-126B-4663-94EB-6705D6CBC2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40FEB1-C76E-4E6F-B586-846E6769CF99}">
  <ds:schemaRefs>
    <ds:schemaRef ds:uri="http://schemas.microsoft.com/office/2006/metadata/properties"/>
    <ds:schemaRef ds:uri="http://schemas.microsoft.com/office/infopath/2007/PartnerControls"/>
    <ds:schemaRef ds:uri="4c5afb06-333d-47e7-b6a6-00a0d7fac109"/>
    <ds:schemaRef ds:uri="b2a64e4a-901b-4506-94cc-be5077fb456c"/>
  </ds:schemaRefs>
</ds:datastoreItem>
</file>

<file path=docMetadata/LabelInfo.xml><?xml version="1.0" encoding="utf-8"?>
<clbl:labelList xmlns:clbl="http://schemas.microsoft.com/office/2020/mipLabelMetadata">
  <clbl:label id="{3f27f816-99e9-48e2-96b8-7197a663025b}" enabled="0" method="" siteId="{3f27f816-99e9-48e2-96b8-7197a663025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2</Pages>
  <Words>760</Words>
  <Characters>4638</Characters>
  <Application>Microsoft Office Word</Application>
  <DocSecurity>0</DocSecurity>
  <Lines>100</Lines>
  <Paragraphs>66</Paragraphs>
  <ScaleCrop>false</ScaleCrop>
  <Company>ITAIPU Binacional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NEUMANN JUNIOR</dc:creator>
  <cp:keywords/>
  <dc:description/>
  <cp:lastModifiedBy>AUDER MACHADO VIEIRA LISBOA</cp:lastModifiedBy>
  <cp:revision>191</cp:revision>
  <cp:lastPrinted>2025-10-30T13:21:00Z</cp:lastPrinted>
  <dcterms:created xsi:type="dcterms:W3CDTF">2025-10-29T18:00:00Z</dcterms:created>
  <dcterms:modified xsi:type="dcterms:W3CDTF">2025-10-30T14:49:00Z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0x0101001D309E9838113046B498F56F0ABC8DD6</vt:lpwstr>
  </property>
  <property fmtid="{D5CDD505-2E9C-101B-9397-08002B2CF9AE}" pid="3" name="docLang">
    <vt:lpwstr>pt</vt:lpwstr>
  </property>
  <property fmtid="{D5CDD505-2E9C-101B-9397-08002B2CF9AE}" pid="4" name="MediaServiceImageTags">
    <vt:lpwstr/>
  </property>
</Properties>
</file>